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D6" w:rsidRDefault="003830D6" w:rsidP="00782554">
      <w:pPr>
        <w:jc w:val="center"/>
        <w:rPr>
          <w:rFonts w:asciiTheme="majorHAnsi" w:hAnsiTheme="majorHAnsi"/>
          <w:b/>
          <w:sz w:val="24"/>
          <w:lang w:val="en-US"/>
        </w:rPr>
      </w:pPr>
      <w:r w:rsidRPr="003830D6">
        <w:rPr>
          <w:rFonts w:asciiTheme="majorHAnsi" w:hAnsiTheme="majorHAnsi"/>
          <w:b/>
          <w:sz w:val="24"/>
          <w:lang w:val="en-US"/>
        </w:rPr>
        <w:t>PROGRAMME IMPLEMENTATION PLAN FOR DRUGS AND VACCINE DISTRIBUTION MANAGEMENT SYSTEM</w:t>
      </w:r>
      <w:r>
        <w:rPr>
          <w:rFonts w:asciiTheme="majorHAnsi" w:hAnsiTheme="majorHAnsi"/>
          <w:b/>
          <w:sz w:val="24"/>
          <w:lang w:val="en-US"/>
        </w:rPr>
        <w:t xml:space="preserve"> </w:t>
      </w:r>
      <w:r w:rsidRPr="003830D6">
        <w:rPr>
          <w:rFonts w:asciiTheme="majorHAnsi" w:hAnsiTheme="majorHAnsi"/>
          <w:b/>
          <w:sz w:val="24"/>
          <w:lang w:val="en-US"/>
        </w:rPr>
        <w:t>(DVDMS) 2021-22</w:t>
      </w:r>
    </w:p>
    <w:p w:rsidR="00E61C84" w:rsidRDefault="00E61C84" w:rsidP="00E61C84">
      <w:pPr>
        <w:ind w:firstLine="720"/>
        <w:jc w:val="both"/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</w:pPr>
      <w:r w:rsidRPr="00D51C56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DVDMS (Drugs and Vaccine Distribution Management System) is a software platform to automate various activiti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es of Health and Family Welfare Department</w:t>
      </w:r>
      <w:r w:rsidRPr="00D51C56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. It comprises of Drug and Vaccine Supply Chain Management that deals with Purchase Order, Inventory Management &amp; Distribution of various drugs etc. Also it helps for managing receipt, Issue, Quality Control, vaccines and other health sector goods that are supplied to States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and districts</w:t>
      </w:r>
      <w:r w:rsidRPr="00D51C56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under various 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health </w:t>
      </w:r>
      <w:r w:rsidRPr="00D51C56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programmes.</w:t>
      </w:r>
    </w:p>
    <w:p w:rsidR="003830D6" w:rsidRDefault="00E61C84" w:rsidP="00E61C84">
      <w:pPr>
        <w:ind w:firstLine="720"/>
        <w:jc w:val="both"/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</w:pP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DVDMS was launched in Mizoram on 14</w:t>
      </w:r>
      <w:r w:rsidRPr="007C2E14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  <w:vertAlign w:val="superscript"/>
        </w:rPr>
        <w:t>th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July 2020 by </w:t>
      </w:r>
      <w:proofErr w:type="spell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Hon’ble</w:t>
      </w:r>
      <w:proofErr w:type="spell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Health Minister.  Work order for implementation of DVDMS was issued to CDAC </w:t>
      </w:r>
      <w:proofErr w:type="spell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Silchar</w:t>
      </w:r>
      <w:proofErr w:type="spell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, Assam on 17</w:t>
      </w:r>
      <w:r w:rsidRPr="007C2E14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  <w:vertAlign w:val="superscript"/>
        </w:rPr>
        <w:t>th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June 2020. Human </w:t>
      </w:r>
      <w:proofErr w:type="gram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resource required for the State IT Cell were</w:t>
      </w:r>
      <w:proofErr w:type="gram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recruited during the first week of August 2020.  . Online Training for State IT Cell was conducted by CDAC team </w:t>
      </w:r>
      <w:proofErr w:type="spell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Silchar</w:t>
      </w:r>
      <w:proofErr w:type="spell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.  Sensitization workshop was held for the staffs at State Warehouse. Stock entry at State warehouse is being 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done. Central Medical Store in the state is now </w:t>
      </w:r>
      <w:r w:rsidRPr="00E61C84">
        <w:rPr>
          <w:rFonts w:asciiTheme="majorHAnsi" w:hAnsiTheme="majorHAnsi" w:cs="Arial"/>
          <w:i/>
          <w:color w:val="000000" w:themeColor="text1"/>
          <w:sz w:val="24"/>
          <w:szCs w:val="17"/>
          <w:shd w:val="clear" w:color="auto" w:fill="F7F7F7"/>
        </w:rPr>
        <w:t xml:space="preserve">active 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on DVDMS dashboard. Process is underway to train stakeholders in PHC, CHC and DH.</w:t>
      </w:r>
      <w:bookmarkStart w:id="0" w:name="_GoBack"/>
      <w:bookmarkEnd w:id="0"/>
    </w:p>
    <w:p w:rsidR="00E61C84" w:rsidRDefault="00E61C84" w:rsidP="00E61C84">
      <w:pPr>
        <w:ind w:firstLine="720"/>
        <w:jc w:val="both"/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</w:pP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In supplementary ROP 2019-20 </w:t>
      </w:r>
      <w:proofErr w:type="spell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Rs</w:t>
      </w:r>
      <w:proofErr w:type="spell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. 83.3 (FMR 14.2.2) lakhs was approved for implementation of the programme. Since this approval did not include funds for procurement of hardware and training, another supplementary PIP 2020-21 was submitted and </w:t>
      </w:r>
      <w:proofErr w:type="spell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Rs</w:t>
      </w:r>
      <w:proofErr w:type="spell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. 12.09 lakhs was approved</w:t>
      </w:r>
      <w:r w:rsidR="00492B71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.</w:t>
      </w:r>
    </w:p>
    <w:p w:rsidR="00492B71" w:rsidRDefault="00276AB2" w:rsidP="00E61C84">
      <w:pPr>
        <w:ind w:firstLine="720"/>
        <w:jc w:val="both"/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</w:pP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Human resource for IT </w:t>
      </w:r>
      <w:proofErr w:type="gram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Cell  consist</w:t>
      </w:r>
      <w:proofErr w:type="gram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of one Project Manager and two Data Entry Operators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. They commenced their work in September 2020. </w:t>
      </w:r>
      <w:r w:rsidR="00492B71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This proposal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is</w:t>
      </w:r>
      <w:r w:rsidR="00492B71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</w:t>
      </w:r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for the salary </w:t>
      </w:r>
      <w:proofErr w:type="gramStart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of  State</w:t>
      </w:r>
      <w:proofErr w:type="gramEnd"/>
      <w:r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IT Cell during 2021-22.</w:t>
      </w:r>
      <w:r w:rsidR="00A62B9D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Proposal is included for 5% increment</w:t>
      </w:r>
      <w:r w:rsidR="00782554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after 1 year, which will begin in October 2021. </w:t>
      </w:r>
      <w:r w:rsidR="00A62B9D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>The total amount proposed is</w:t>
      </w:r>
      <w:r w:rsidR="00782554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</w:t>
      </w:r>
      <w:r w:rsidR="00782554" w:rsidRPr="00782554">
        <w:rPr>
          <w:rFonts w:asciiTheme="majorHAnsi" w:hAnsiTheme="majorHAnsi" w:cs="Arial"/>
          <w:b/>
          <w:color w:val="000000" w:themeColor="text1"/>
          <w:sz w:val="24"/>
          <w:szCs w:val="17"/>
          <w:shd w:val="clear" w:color="auto" w:fill="F7F7F7"/>
        </w:rPr>
        <w:t>Rs.7.99 lakhs.</w:t>
      </w:r>
      <w:r w:rsidR="00A62B9D">
        <w:rPr>
          <w:rFonts w:asciiTheme="majorHAnsi" w:hAnsiTheme="majorHAnsi" w:cs="Arial"/>
          <w:color w:val="000000" w:themeColor="text1"/>
          <w:sz w:val="24"/>
          <w:szCs w:val="17"/>
          <w:shd w:val="clear" w:color="auto" w:fill="F7F7F7"/>
        </w:rPr>
        <w:t xml:space="preserve"> </w:t>
      </w:r>
    </w:p>
    <w:p w:rsidR="00276AB2" w:rsidRPr="00276AB2" w:rsidRDefault="00276AB2" w:rsidP="00E61C84">
      <w:pPr>
        <w:ind w:firstLine="720"/>
        <w:jc w:val="both"/>
        <w:rPr>
          <w:rFonts w:asciiTheme="majorHAnsi" w:hAnsiTheme="majorHAnsi" w:cs="Arial"/>
          <w:b/>
          <w:color w:val="000000" w:themeColor="text1"/>
          <w:sz w:val="24"/>
          <w:szCs w:val="17"/>
          <w:shd w:val="clear" w:color="auto" w:fill="F7F7F7"/>
        </w:rPr>
      </w:pPr>
      <w:r>
        <w:rPr>
          <w:rFonts w:asciiTheme="majorHAnsi" w:hAnsiTheme="majorHAnsi" w:cs="Arial"/>
          <w:b/>
          <w:color w:val="000000" w:themeColor="text1"/>
          <w:sz w:val="24"/>
          <w:szCs w:val="17"/>
          <w:shd w:val="clear" w:color="auto" w:fill="F7F7F7"/>
        </w:rPr>
        <w:t>Proposal for salary of</w:t>
      </w:r>
      <w:r w:rsidRPr="00276AB2">
        <w:rPr>
          <w:rFonts w:asciiTheme="majorHAnsi" w:hAnsiTheme="majorHAnsi" w:cs="Arial"/>
          <w:b/>
          <w:color w:val="000000" w:themeColor="text1"/>
          <w:sz w:val="24"/>
          <w:szCs w:val="17"/>
          <w:shd w:val="clear" w:color="auto" w:fill="F7F7F7"/>
        </w:rPr>
        <w:t xml:space="preserve"> state IT Cell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5386"/>
        <w:gridCol w:w="2897"/>
      </w:tblGrid>
      <w:tr w:rsidR="00276AB2" w:rsidTr="00132FD0">
        <w:tc>
          <w:tcPr>
            <w:tcW w:w="959" w:type="dxa"/>
          </w:tcPr>
          <w:p w:rsidR="00276AB2" w:rsidRDefault="00276AB2" w:rsidP="00276AB2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lang w:val="en-US"/>
              </w:rPr>
              <w:t>No</w:t>
            </w:r>
          </w:p>
        </w:tc>
        <w:tc>
          <w:tcPr>
            <w:tcW w:w="5386" w:type="dxa"/>
          </w:tcPr>
          <w:p w:rsidR="00276AB2" w:rsidRDefault="00132FD0" w:rsidP="00276AB2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lang w:val="en-US"/>
              </w:rPr>
              <w:t>Designation</w:t>
            </w:r>
          </w:p>
        </w:tc>
        <w:tc>
          <w:tcPr>
            <w:tcW w:w="2897" w:type="dxa"/>
          </w:tcPr>
          <w:p w:rsidR="00276AB2" w:rsidRDefault="00132FD0" w:rsidP="00276AB2">
            <w:pPr>
              <w:spacing w:line="360" w:lineRule="auto"/>
              <w:jc w:val="center"/>
              <w:rPr>
                <w:rFonts w:asciiTheme="majorHAnsi" w:hAnsiTheme="majorHAnsi"/>
                <w:b/>
                <w:sz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lang w:val="en-US"/>
              </w:rPr>
              <w:t xml:space="preserve">Salary per month in </w:t>
            </w:r>
            <w:proofErr w:type="spellStart"/>
            <w:r w:rsidR="00276AB2">
              <w:rPr>
                <w:rFonts w:asciiTheme="majorHAnsi" w:hAnsiTheme="majorHAnsi"/>
                <w:b/>
                <w:sz w:val="24"/>
                <w:lang w:val="en-US"/>
              </w:rPr>
              <w:t>Rs</w:t>
            </w:r>
            <w:proofErr w:type="spellEnd"/>
          </w:p>
        </w:tc>
      </w:tr>
      <w:tr w:rsidR="00276AB2" w:rsidTr="00132FD0">
        <w:tc>
          <w:tcPr>
            <w:tcW w:w="959" w:type="dxa"/>
          </w:tcPr>
          <w:p w:rsidR="00276AB2" w:rsidRPr="000338ED" w:rsidRDefault="00276AB2" w:rsidP="000338ED">
            <w:pPr>
              <w:spacing w:line="360" w:lineRule="auto"/>
              <w:jc w:val="center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1</w:t>
            </w:r>
          </w:p>
        </w:tc>
        <w:tc>
          <w:tcPr>
            <w:tcW w:w="5386" w:type="dxa"/>
          </w:tcPr>
          <w:p w:rsidR="00276AB2" w:rsidRPr="00132FD0" w:rsidRDefault="00132FD0" w:rsidP="00276AB2">
            <w:pPr>
              <w:spacing w:line="360" w:lineRule="auto"/>
              <w:jc w:val="both"/>
              <w:rPr>
                <w:rFonts w:asciiTheme="majorHAnsi" w:hAnsiTheme="majorHAnsi"/>
                <w:sz w:val="24"/>
                <w:lang w:val="en-US"/>
              </w:rPr>
            </w:pPr>
            <w:r w:rsidRPr="00132FD0">
              <w:rPr>
                <w:rFonts w:asciiTheme="majorHAnsi" w:hAnsiTheme="majorHAnsi"/>
                <w:sz w:val="24"/>
                <w:lang w:val="en-US"/>
              </w:rPr>
              <w:t>Project Manager</w:t>
            </w:r>
          </w:p>
        </w:tc>
        <w:tc>
          <w:tcPr>
            <w:tcW w:w="2897" w:type="dxa"/>
          </w:tcPr>
          <w:p w:rsidR="00276AB2" w:rsidRPr="00132FD0" w:rsidRDefault="00132FD0" w:rsidP="00132FD0">
            <w:pPr>
              <w:spacing w:line="360" w:lineRule="auto"/>
              <w:jc w:val="right"/>
              <w:rPr>
                <w:rFonts w:asciiTheme="majorHAnsi" w:hAnsiTheme="majorHAnsi"/>
                <w:sz w:val="24"/>
                <w:lang w:val="en-US"/>
              </w:rPr>
            </w:pPr>
            <w:r w:rsidRPr="00132FD0">
              <w:rPr>
                <w:rFonts w:asciiTheme="majorHAnsi" w:hAnsiTheme="majorHAnsi"/>
                <w:sz w:val="24"/>
                <w:lang w:val="en-US"/>
              </w:rPr>
              <w:t>35000</w:t>
            </w:r>
          </w:p>
        </w:tc>
      </w:tr>
      <w:tr w:rsidR="00276AB2" w:rsidTr="00132FD0">
        <w:tc>
          <w:tcPr>
            <w:tcW w:w="959" w:type="dxa"/>
          </w:tcPr>
          <w:p w:rsidR="00276AB2" w:rsidRPr="000338ED" w:rsidRDefault="00132FD0" w:rsidP="000338ED">
            <w:pPr>
              <w:spacing w:line="360" w:lineRule="auto"/>
              <w:jc w:val="center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2</w:t>
            </w:r>
          </w:p>
        </w:tc>
        <w:tc>
          <w:tcPr>
            <w:tcW w:w="5386" w:type="dxa"/>
          </w:tcPr>
          <w:p w:rsidR="00276AB2" w:rsidRPr="00132FD0" w:rsidRDefault="00132FD0" w:rsidP="00276AB2">
            <w:pPr>
              <w:spacing w:line="360" w:lineRule="auto"/>
              <w:jc w:val="both"/>
              <w:rPr>
                <w:rFonts w:asciiTheme="majorHAnsi" w:hAnsiTheme="majorHAnsi"/>
                <w:sz w:val="24"/>
                <w:lang w:val="en-US"/>
              </w:rPr>
            </w:pPr>
            <w:r w:rsidRPr="00132FD0">
              <w:rPr>
                <w:rFonts w:asciiTheme="majorHAnsi" w:hAnsiTheme="majorHAnsi"/>
                <w:sz w:val="24"/>
                <w:lang w:val="en-US"/>
              </w:rPr>
              <w:t>Data Entry Operators</w:t>
            </w:r>
          </w:p>
        </w:tc>
        <w:tc>
          <w:tcPr>
            <w:tcW w:w="2897" w:type="dxa"/>
          </w:tcPr>
          <w:p w:rsidR="00276AB2" w:rsidRPr="00132FD0" w:rsidRDefault="000338ED" w:rsidP="00132FD0">
            <w:pPr>
              <w:spacing w:line="360" w:lineRule="auto"/>
              <w:jc w:val="right"/>
              <w:rPr>
                <w:rFonts w:asciiTheme="majorHAnsi" w:hAnsiTheme="majorHAnsi"/>
                <w:sz w:val="24"/>
                <w:lang w:val="en-US"/>
              </w:rPr>
            </w:pPr>
            <w:r>
              <w:rPr>
                <w:rFonts w:asciiTheme="majorHAnsi" w:hAnsiTheme="majorHAnsi"/>
                <w:sz w:val="24"/>
                <w:lang w:val="en-US"/>
              </w:rPr>
              <w:t>15000x2</w:t>
            </w:r>
            <w:r w:rsidR="00132FD0" w:rsidRPr="00132FD0">
              <w:rPr>
                <w:rFonts w:asciiTheme="majorHAnsi" w:hAnsiTheme="majorHAnsi"/>
                <w:sz w:val="24"/>
                <w:lang w:val="en-US"/>
              </w:rPr>
              <w:t>=30000</w:t>
            </w:r>
          </w:p>
        </w:tc>
      </w:tr>
      <w:tr w:rsidR="00132FD0" w:rsidTr="00616090">
        <w:tc>
          <w:tcPr>
            <w:tcW w:w="6345" w:type="dxa"/>
            <w:gridSpan w:val="2"/>
          </w:tcPr>
          <w:p w:rsidR="00132FD0" w:rsidRPr="000338ED" w:rsidRDefault="00132FD0" w:rsidP="000338ED">
            <w:pPr>
              <w:spacing w:line="360" w:lineRule="auto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Total per month salary for state IT cell team</w:t>
            </w:r>
          </w:p>
        </w:tc>
        <w:tc>
          <w:tcPr>
            <w:tcW w:w="2897" w:type="dxa"/>
          </w:tcPr>
          <w:p w:rsidR="00132FD0" w:rsidRPr="000338ED" w:rsidRDefault="00132FD0" w:rsidP="00132FD0">
            <w:pPr>
              <w:spacing w:line="360" w:lineRule="auto"/>
              <w:jc w:val="right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65000</w:t>
            </w:r>
          </w:p>
        </w:tc>
      </w:tr>
      <w:tr w:rsidR="000338ED" w:rsidTr="0067638B">
        <w:tc>
          <w:tcPr>
            <w:tcW w:w="6345" w:type="dxa"/>
            <w:gridSpan w:val="2"/>
          </w:tcPr>
          <w:p w:rsidR="000338ED" w:rsidRPr="000338ED" w:rsidRDefault="000338ED" w:rsidP="000338ED">
            <w:pPr>
              <w:spacing w:line="360" w:lineRule="auto"/>
              <w:jc w:val="both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Salary for the month</w:t>
            </w:r>
            <w:r>
              <w:rPr>
                <w:rFonts w:asciiTheme="majorHAnsi" w:hAnsiTheme="majorHAnsi"/>
                <w:sz w:val="24"/>
                <w:lang w:val="en-US"/>
              </w:rPr>
              <w:t>s</w:t>
            </w:r>
            <w:r w:rsidRPr="000338ED">
              <w:rPr>
                <w:rFonts w:asciiTheme="majorHAnsi" w:hAnsiTheme="majorHAnsi"/>
                <w:sz w:val="24"/>
                <w:lang w:val="en-US"/>
              </w:rPr>
              <w:t xml:space="preserve"> of April-</w:t>
            </w:r>
            <w:r>
              <w:rPr>
                <w:rFonts w:asciiTheme="majorHAnsi" w:hAnsiTheme="majorHAnsi"/>
                <w:sz w:val="24"/>
                <w:lang w:val="en-US"/>
              </w:rPr>
              <w:t>September</w:t>
            </w:r>
            <w:r w:rsidRPr="000338ED">
              <w:rPr>
                <w:rFonts w:asciiTheme="majorHAnsi" w:hAnsiTheme="majorHAnsi"/>
                <w:sz w:val="24"/>
                <w:lang w:val="en-US"/>
              </w:rPr>
              <w:t xml:space="preserve"> 2021</w:t>
            </w:r>
            <w:r w:rsidR="00A62B9D" w:rsidRPr="00A62B9D">
              <w:rPr>
                <w:rFonts w:asciiTheme="majorHAnsi" w:hAnsiTheme="majorHAnsi"/>
                <w:b/>
                <w:sz w:val="24"/>
                <w:lang w:val="en-US"/>
              </w:rPr>
              <w:t>(A)</w:t>
            </w:r>
          </w:p>
        </w:tc>
        <w:tc>
          <w:tcPr>
            <w:tcW w:w="2897" w:type="dxa"/>
          </w:tcPr>
          <w:p w:rsidR="000338ED" w:rsidRPr="000338ED" w:rsidRDefault="000338ED" w:rsidP="000338ED">
            <w:pPr>
              <w:spacing w:line="360" w:lineRule="auto"/>
              <w:jc w:val="right"/>
              <w:rPr>
                <w:rFonts w:asciiTheme="majorHAnsi" w:hAnsiTheme="majorHAnsi"/>
                <w:sz w:val="24"/>
                <w:lang w:val="en-US"/>
              </w:rPr>
            </w:pPr>
            <w:r>
              <w:rPr>
                <w:rFonts w:asciiTheme="majorHAnsi" w:hAnsiTheme="majorHAnsi"/>
                <w:sz w:val="24"/>
                <w:lang w:val="en-US"/>
              </w:rPr>
              <w:t>65000x6</w:t>
            </w:r>
            <w:r w:rsidRPr="000338ED">
              <w:rPr>
                <w:rFonts w:asciiTheme="majorHAnsi" w:hAnsiTheme="majorHAnsi"/>
                <w:sz w:val="24"/>
                <w:lang w:val="en-US"/>
              </w:rPr>
              <w:t>=</w:t>
            </w:r>
            <w:r w:rsidRPr="00A62B9D">
              <w:rPr>
                <w:rFonts w:asciiTheme="majorHAnsi" w:hAnsiTheme="majorHAnsi"/>
                <w:b/>
                <w:sz w:val="24"/>
                <w:lang w:val="en-US"/>
              </w:rPr>
              <w:t>390000</w:t>
            </w:r>
          </w:p>
        </w:tc>
      </w:tr>
      <w:tr w:rsidR="000338ED" w:rsidTr="000A7F81">
        <w:tc>
          <w:tcPr>
            <w:tcW w:w="6345" w:type="dxa"/>
            <w:gridSpan w:val="2"/>
          </w:tcPr>
          <w:p w:rsidR="000338ED" w:rsidRPr="000338ED" w:rsidRDefault="000338ED" w:rsidP="00276AB2">
            <w:pPr>
              <w:spacing w:line="360" w:lineRule="auto"/>
              <w:jc w:val="both"/>
              <w:rPr>
                <w:rFonts w:asciiTheme="majorHAnsi" w:hAnsiTheme="majorHAnsi"/>
                <w:sz w:val="24"/>
                <w:lang w:val="en-US"/>
              </w:rPr>
            </w:pPr>
            <w:r w:rsidRPr="000338ED">
              <w:rPr>
                <w:rFonts w:asciiTheme="majorHAnsi" w:hAnsiTheme="majorHAnsi"/>
                <w:sz w:val="24"/>
                <w:lang w:val="en-US"/>
              </w:rPr>
              <w:t>Salary for the months of October 2021-March 2022</w:t>
            </w:r>
            <w:r>
              <w:rPr>
                <w:rFonts w:asciiTheme="majorHAnsi" w:hAnsiTheme="majorHAnsi"/>
                <w:sz w:val="24"/>
                <w:lang w:val="en-US"/>
              </w:rPr>
              <w:t xml:space="preserve"> with 5% increment</w:t>
            </w:r>
            <w:r w:rsidR="00A62B9D">
              <w:rPr>
                <w:rFonts w:asciiTheme="majorHAnsi" w:hAnsiTheme="majorHAnsi"/>
                <w:sz w:val="24"/>
                <w:lang w:val="en-US"/>
              </w:rPr>
              <w:t xml:space="preserve"> </w:t>
            </w:r>
            <w:r w:rsidR="00A62B9D" w:rsidRPr="00A62B9D">
              <w:rPr>
                <w:rFonts w:asciiTheme="majorHAnsi" w:hAnsiTheme="majorHAnsi"/>
                <w:b/>
                <w:sz w:val="24"/>
                <w:lang w:val="en-US"/>
              </w:rPr>
              <w:t>(B)</w:t>
            </w:r>
          </w:p>
        </w:tc>
        <w:tc>
          <w:tcPr>
            <w:tcW w:w="2897" w:type="dxa"/>
          </w:tcPr>
          <w:p w:rsidR="000338ED" w:rsidRPr="00A62B9D" w:rsidRDefault="00A62B9D" w:rsidP="00A62B9D">
            <w:pPr>
              <w:spacing w:line="360" w:lineRule="auto"/>
              <w:jc w:val="right"/>
              <w:rPr>
                <w:rFonts w:asciiTheme="majorHAnsi" w:hAnsiTheme="majorHAnsi"/>
                <w:sz w:val="24"/>
                <w:lang w:val="en-US"/>
              </w:rPr>
            </w:pPr>
            <w:r w:rsidRPr="00A62B9D">
              <w:rPr>
                <w:rFonts w:asciiTheme="majorHAnsi" w:hAnsiTheme="majorHAnsi"/>
                <w:sz w:val="24"/>
                <w:lang w:val="en-US"/>
              </w:rPr>
              <w:t>39000+5%</w:t>
            </w:r>
            <w:r>
              <w:rPr>
                <w:rFonts w:asciiTheme="majorHAnsi" w:hAnsiTheme="majorHAnsi"/>
                <w:sz w:val="24"/>
                <w:lang w:val="en-US"/>
              </w:rPr>
              <w:t>=</w:t>
            </w:r>
            <w:r w:rsidRPr="00A62B9D">
              <w:rPr>
                <w:rFonts w:asciiTheme="majorHAnsi" w:hAnsiTheme="majorHAnsi"/>
                <w:b/>
                <w:sz w:val="24"/>
                <w:lang w:val="en-US"/>
              </w:rPr>
              <w:t>409500</w:t>
            </w:r>
          </w:p>
        </w:tc>
      </w:tr>
      <w:tr w:rsidR="00A62B9D" w:rsidTr="00A54FD5">
        <w:tc>
          <w:tcPr>
            <w:tcW w:w="6345" w:type="dxa"/>
            <w:gridSpan w:val="2"/>
          </w:tcPr>
          <w:p w:rsidR="00A62B9D" w:rsidRDefault="00A62B9D" w:rsidP="00A62B9D">
            <w:pPr>
              <w:spacing w:line="360" w:lineRule="auto"/>
              <w:jc w:val="right"/>
              <w:rPr>
                <w:rFonts w:asciiTheme="majorHAnsi" w:hAnsiTheme="majorHAnsi"/>
                <w:b/>
                <w:sz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lang w:val="en-US"/>
              </w:rPr>
              <w:t>TOTAL (A+B)</w:t>
            </w:r>
          </w:p>
        </w:tc>
        <w:tc>
          <w:tcPr>
            <w:tcW w:w="2897" w:type="dxa"/>
          </w:tcPr>
          <w:p w:rsidR="00A62B9D" w:rsidRDefault="00A62B9D" w:rsidP="00A62B9D">
            <w:pPr>
              <w:spacing w:line="360" w:lineRule="auto"/>
              <w:jc w:val="right"/>
              <w:rPr>
                <w:rFonts w:asciiTheme="majorHAnsi" w:hAnsiTheme="majorHAnsi"/>
                <w:b/>
                <w:sz w:val="24"/>
                <w:lang w:val="en-US"/>
              </w:rPr>
            </w:pPr>
            <w:r>
              <w:rPr>
                <w:rFonts w:asciiTheme="majorHAnsi" w:hAnsiTheme="majorHAnsi"/>
                <w:b/>
                <w:sz w:val="24"/>
                <w:lang w:val="en-US"/>
              </w:rPr>
              <w:t>799500</w:t>
            </w:r>
          </w:p>
        </w:tc>
      </w:tr>
    </w:tbl>
    <w:p w:rsidR="00276AB2" w:rsidRPr="003830D6" w:rsidRDefault="00276AB2" w:rsidP="00276AB2">
      <w:pPr>
        <w:jc w:val="both"/>
        <w:rPr>
          <w:rFonts w:asciiTheme="majorHAnsi" w:hAnsiTheme="majorHAnsi"/>
          <w:b/>
          <w:sz w:val="24"/>
          <w:lang w:val="en-US"/>
        </w:rPr>
      </w:pPr>
    </w:p>
    <w:sectPr w:rsidR="00276AB2" w:rsidRPr="003830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D6"/>
    <w:rsid w:val="000338ED"/>
    <w:rsid w:val="00132FD0"/>
    <w:rsid w:val="00276AB2"/>
    <w:rsid w:val="003830D6"/>
    <w:rsid w:val="0048462B"/>
    <w:rsid w:val="00492B71"/>
    <w:rsid w:val="00782554"/>
    <w:rsid w:val="00A62B9D"/>
    <w:rsid w:val="00B94C67"/>
    <w:rsid w:val="00E6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76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276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1up</dc:creator>
  <cp:lastModifiedBy>1up</cp:lastModifiedBy>
  <cp:revision>1</cp:revision>
  <dcterms:created xsi:type="dcterms:W3CDTF">2020-11-11T07:11:00Z</dcterms:created>
  <dcterms:modified xsi:type="dcterms:W3CDTF">2020-11-11T09:27:00Z</dcterms:modified>
</cp:coreProperties>
</file>